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Effective Date: Friday, 3rd October 2025</w:t>
      </w:r>
      <w:r w:rsidDel="00000000" w:rsidR="00000000" w:rsidRPr="00000000">
        <w:rPr>
          <w:rFonts w:ascii="Helvetica" w:cs="Helvetica" w:eastAsia="Helvetica" w:hAnsi="Helvetica"/>
          <w:b w:val="1"/>
          <w:sz w:val="20"/>
          <w:szCs w:val="20"/>
          <w:highlight w:val="red"/>
          <w:rtl w:val="0"/>
        </w:rPr>
        <w:br w:type="textWrapping"/>
      </w:r>
      <w:r w:rsidDel="00000000" w:rsidR="00000000" w:rsidRPr="00000000">
        <w:rPr>
          <w:rFonts w:ascii="Helvetica" w:cs="Helvetica" w:eastAsia="Helvetica" w:hAnsi="Helvetica"/>
          <w:b w:val="1"/>
          <w:sz w:val="20"/>
          <w:szCs w:val="20"/>
          <w:rtl w:val="0"/>
        </w:rPr>
        <w:t xml:space="preserve">Review Date: Friday, 3rd October 2026</w:t>
      </w:r>
    </w:p>
    <w:p w:rsidR="00000000" w:rsidDel="00000000" w:rsidP="00000000" w:rsidRDefault="00000000" w:rsidRPr="00000000" w14:paraId="00000002">
      <w:pPr>
        <w:spacing w:after="160" w:line="278.00000000000006" w:lineRule="auto"/>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Helvetica" w:cs="Helvetica" w:eastAsia="Helvetica" w:hAnsi="Helvetica"/>
          <w:b w:val="1"/>
          <w:sz w:val="20"/>
          <w:szCs w:val="20"/>
          <w:rtl w:val="0"/>
        </w:rPr>
        <w:t xml:space="preserve">Approved by: Ione Inness, Director of SEND Tutoring</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7"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Next review: As required but no later than </w:t>
      </w:r>
      <w:r w:rsidDel="00000000" w:rsidR="00000000" w:rsidRPr="00000000">
        <w:rPr>
          <w:rFonts w:ascii="Calibri" w:cs="Calibri" w:eastAsia="Calibri" w:hAnsi="Calibri"/>
          <w:b w:val="1"/>
          <w:sz w:val="20"/>
          <w:szCs w:val="20"/>
          <w:highlight w:val="white"/>
          <w:rtl w:val="0"/>
        </w:rPr>
        <w:t xml:space="preserve">October 2026</w: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 (By Ione Inness SEND Tutoring Director)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Statement of intent: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The safety and welfare of all children at SEND Tutoring is our highest priority. Our business is to know that all of the SEND children are individuals and to provide a secure and caring environment so that every child can learn safely.  In all matters relating to child protection SEND Tutoring will follow the procedures laid down by B&amp;NES Community Safety and Safeguarding Partnership (formerly LSCB), or where appropriate the relevant child’s LSCB.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The Data Protection Act 2018 and GDPR do not prevent the sharing of information for the purpose of keeping children safe. This includes allowing practitioners to share information without consent.</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This policy is applicable to the whole SEND Tutoring community, including children in the Early Years Foundation Stage (EYFS). This policy is reviewed annually.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1"/>
          <w:color w:val="0b5394"/>
          <w:sz w:val="20"/>
          <w:szCs w:val="20"/>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sz w:val="20"/>
          <w:szCs w:val="20"/>
          <w:highlight w:val="white"/>
          <w:u w:val="none"/>
          <w:vertAlign w:val="baseline"/>
          <w:rtl w:val="0"/>
        </w:rPr>
        <w:t xml:space="preserve">Responding to Concerns: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At SEND Tutoring, despite rigorous Safer Recruitment practices being instigated, we recognise there is always the possibility that adults tutoring in homes may harm children. They include Any concerns about the conduct of other adults working as sub-contractors should be taken to Annabel Douglas-Hughes of SEND Tutoring. Where there is reasonable cause to suspect that a child is suffering, or likely to suffer significant harm, a referral to the LADO (Local Authority Designated Officer) and/or police will be made immediately, before investigation by SEND Tutoring. If at any time there is a risk of immediate serious harm to a child, a referral should be made immediately to the Children and Families Assessment and Intervention Team (CAFAIT).  If a crime may have been committed, the matter should be reported to the police.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All tutors and specialists, have a duty to safeguard our pupils' welfare and must therefore familiarise themselves and comply at all times with this policy.  All contractors should be aware that safeguarding incidents can happen at any time and anywhere and are required to be alert to any possible concerns. Children may not feel ready or know how to tell someone that they are being abused, exploited, or neglected, and/or they may not recognise their experiences as harmful. For example, children may feel embarrassed, humiliated, or that they are being threatened. This could be due to their vulnerability, disability and/or sexual orientation or language barriers. Sub-Contractors should have a professional curiosity and speak to the DSL if they have concerns about a child, making sure their approach is always in the best interest of the child.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Early Help</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Any child may benefit from early help but all staff should be particularly alert to the potential need for early help for a child who: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Is disabled and has specific additional needs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Has special educational needs (whether or not they have a statutory education, health and care plan)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Is a </w:t>
      </w:r>
      <w:r w:rsidDel="00000000" w:rsidR="00000000" w:rsidRPr="00000000">
        <w:rPr>
          <w:rFonts w:ascii="Calibri" w:cs="Calibri" w:eastAsia="Calibri" w:hAnsi="Calibri"/>
          <w:sz w:val="20"/>
          <w:szCs w:val="20"/>
          <w:highlight w:val="white"/>
          <w:rtl w:val="0"/>
        </w:rPr>
        <w:t xml:space="preserve">young</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carer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Is showing signs of being drawn into antisocial or criminal behaviour, including gang involvement and association with organised crime groups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Is frequently missing/goes missing from care or from home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Is at risk of modern slavery, trafficking or exploitation</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Is at risk of being radicalised or exploited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Is in a family circumstance presenting challenges for the child, such as drug and alcohol misuse, adult mental health issues and domestic abuse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Is misusing drugs or alcohol themselves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Has returned home to their family from care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Is showing early signs of abuse and/or neglect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Is a privately fostered child.</w:t>
        <w:br w:type="textWrapp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Early help means providing support as soon as a problem emerges at any point in a child's life, from the foundation years through to the teenage years.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In the first instance, sub-contractors who consider that a child may benefit from early help should discuss this with SEND Tutoring. SEND Tutoring will support sub-contractors in liaising with external agencies and professionals in an inter-agency assessment, as appropriate. If early help is appropriate, the matter will be kept under review and consideration given to a referral to children's social care if the pupil's situation does not appear to be improving.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Definitions of safeguarding and types and signs of abuse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Safeguarding</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and promoting the welfare of children is defined as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 ‘Exercising professional curiosity and knowing what to look for is vital for the early identification of abuse and neglect so that staff are able to identify cases of children who may be in need of help or protection.’ (KCSIE 22)</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Abuse</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is a form of maltreatment of a child. Somebody may abuse or neglect a child by inflicting harm or by failing to act to prevent harm. Children may be abused in a family or in an institutional or community setting by those known to them or, more rarely, by others (e.g. via the internet). Abuse can take place wholly online, or technology may be used to facilitate offline abuse. They may be abused by an adult or adults or by another child or children. Abuse can be: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physical abuse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emotional abuse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sexual abuse; and/or</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Neglect</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Spiritual Abuse (The government guidance on faith abuse can be found </w:t>
      </w:r>
      <w:hyperlink r:id="rId7">
        <w:r w:rsidDel="00000000" w:rsidR="00000000" w:rsidRPr="00000000">
          <w:rPr>
            <w:rFonts w:ascii="Calibri" w:cs="Calibri" w:eastAsia="Calibri" w:hAnsi="Calibri"/>
            <w:b w:val="0"/>
            <w:i w:val="0"/>
            <w:smallCaps w:val="0"/>
            <w:strike w:val="0"/>
            <w:color w:val="000000"/>
            <w:sz w:val="20"/>
            <w:szCs w:val="20"/>
            <w:highlight w:val="white"/>
            <w:u w:val="single"/>
            <w:vertAlign w:val="baseline"/>
            <w:rtl w:val="0"/>
          </w:rPr>
          <w:t xml:space="preserve">here</w:t>
        </w:r>
      </w:hyperlink>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w:t>
        <w:br w:type="textWrapping"/>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hyperlink r:id="rId8">
        <w:r w:rsidDel="00000000" w:rsidR="00000000" w:rsidRPr="00000000">
          <w:rPr>
            <w:rFonts w:ascii="Calibri" w:cs="Calibri" w:eastAsia="Calibri" w:hAnsi="Calibri"/>
            <w:b w:val="0"/>
            <w:i w:val="0"/>
            <w:smallCaps w:val="0"/>
            <w:strike w:val="0"/>
            <w:color w:val="000000"/>
            <w:sz w:val="20"/>
            <w:szCs w:val="20"/>
            <w:highlight w:val="white"/>
            <w:u w:val="single"/>
            <w:vertAlign w:val="baseline"/>
            <w:rtl w:val="0"/>
          </w:rPr>
          <w:t xml:space="preserve">CME </w:t>
        </w:r>
      </w:hyperlink>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(Children Missing Education)</w:t>
        <w:br w:type="textWrapping"/>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Sub-contractors should refer to the paragraphs below for further detail on the types of abuse and possible signs of abuse.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All contractors should be aware that safeguarding incidents and/or behaviours can be associated with factors outside school and/or can occur between children outside of these environments. All contractors, but especially the designated safeguarding lead (Annabel Douglas-Hughes)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Sometimes children are subjected to child-on-child abuse and this should never be tolerated or passed off as ‘banter’ or part of ‘growing up. This sort of behaviour is unacceptable. This can include sexting, sexual abuse and initiation/hazing type violence, rituals, domestic violence, gangs, forced marriage and honour-based violence.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Types of abuse and what to look out for:</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All sub-contractors should be aware that abuse, neglect and safeguarding issues are rarely standalone events that can be covered by one definition or label. In most cases, multiple issues will overlap with one another. These are referenced in Annex B of </w:t>
      </w:r>
      <w:hyperlink r:id="rId9">
        <w:r w:rsidDel="00000000" w:rsidR="00000000" w:rsidRPr="00000000">
          <w:rPr>
            <w:rFonts w:ascii="Calibri" w:cs="Calibri" w:eastAsia="Calibri" w:hAnsi="Calibri"/>
            <w:b w:val="0"/>
            <w:i w:val="0"/>
            <w:smallCaps w:val="0"/>
            <w:strike w:val="0"/>
            <w:color w:val="1155cc"/>
            <w:sz w:val="20"/>
            <w:szCs w:val="20"/>
            <w:highlight w:val="white"/>
            <w:u w:val="single"/>
            <w:vertAlign w:val="baseline"/>
            <w:rtl w:val="0"/>
          </w:rPr>
          <w:t xml:space="preserve">KCSIE 2022</w:t>
        </w:r>
      </w:hyperlink>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Physical abuse:</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Signs/Indicators of Physical abuse: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with frequent injuries;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with unexplained or unusual fractures or broken bones;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2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with unexplained:  bruises or cuts;  burns or scalds; or bite marks.</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w:t>
        <w:br w:type="textWrapping"/>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Emotional abuse:</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Signs/Indicators of Emotional abuse: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are excessively withdrawn, fearful, or anxious about doing something wrong;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Parents or carers who withdraw their attention from their child, giving the child the ‘cold shoulder’;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Parents or carers blaming their problems on their child;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2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Parents or carers who humiliate their child, for example, by name-calling or making negative comparisons.</w:t>
        <w:br w:type="textWrapping"/>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Sexual abuse:</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Sexual abuse also includes sexual violence and sexual harassment which can occur between two children of any sex. They can also occur through a group of children sexually assaulting or sexually harassing a single child or group of children. Sexual violence is sexual offences under the Sexual Offences Act 2003, such as rape, sexual assault and assault by penetration. Sexual harassment is ‘unwanted conduct of a sexual nature that can occur online and offline. Sexual harassment is likely to violate a child’s dignity, and/or make them feel intimidated, degraded or humiliated and/or create a hostile, offensive or sexualised environment. Sexual harassment can include sexual comments, such as telling sexual stories, making lewd comments, making sexual remarks about clothes and appearance and calling someone sexualised names;  sexual “jokes” or taunting; physical behaviour, such as deliberating brushing against someone, interfering with someone’s clothes and displaying pictures, photos or drawings of a sexual nature; and online sexual harassment, which might include non-consensual sharing of sexual images and videos and sharing sexual images and videos (both often referred to as sexting); inappropriate sexual comments on social media; exploitation; coercion and threats. Online sexual harassment may be standalone, or part of a wider pattern of sexual harassment and/or sexual violence.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Signs/Indicators of Sexual abuse: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display knowledge or interest in sexual acts inappropriate to their age;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use sexual language or have sexual knowledge that you wouldn’t expect them to have;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ask others to behave sexually or play sexual games;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2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with physical sexual health problems, including soreness in the genital and anal areas, sexually transmitted infections or underage pregnancy.</w:t>
        <w:br w:type="textWrapping"/>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Neglect:</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Signs/Indicators of Neglect abuse: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are living in a home that is indisputably dirty or unsafe;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are left hungry or dirty;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 Children who are left without adequate clothing, e.g. not having a winter coat;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are living in dangerous conditions, i.e. around drugs, alcohol or violence;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are often angry, aggressive or self-harm;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fail to receive basic health care ;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2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Parents who fail to seek medical treatment when their children are ill or injured.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Child Sexual Exploitation (CSE) and Child Criminal Exploitation (CCE) County Lines </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(see below for info)</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another advantage (such as increased status) of the perpetrator or facilitator. 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the activity appears consensual and it should be noted exploitation as well as being physical can be facilitated and/or take place online. CCE of children is a geographically widespread form of harm that is a typical feature of county lines criminal activity: drug networks or gangs groom and exploit children and young people to carry drugs and money from urban areas to suburban and rural areas, markets and seaside towns. Key to identifying potential involvement in county lines are missing episodes, when the victim may have been trafficked for the purpose of transporting drugs and a referral to the National Referral Mechanism should be considered. Like other forms of abuse and exploitation, county lines are exploitation. More information including definitions and indicators are included in Annex A but some of the signs/indicators are: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Signs/Indicators of CCE abuse: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appear with unexplained gifts or new possessions;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associate with other young people involved in exploitation;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have older boyfriends or girlfriends;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suffer from sexually transmitted infections or become pregnant;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suffer from changes in emotional well-being;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misuse drugs and alcohol;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go missing for periods of time or regularly come home late;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20" w:before="0" w:line="288" w:lineRule="auto"/>
        <w:ind w:left="720" w:right="0" w:hanging="500"/>
        <w:jc w:val="both"/>
        <w:rPr>
          <w:rFonts w:ascii="Calibri" w:cs="Calibri" w:eastAsia="Calibri" w:hAnsi="Calibri"/>
          <w:b w:val="0"/>
          <w:i w:val="1"/>
          <w:smallCaps w:val="0"/>
          <w:strike w:val="0"/>
          <w:color w:val="000000"/>
          <w:sz w:val="20"/>
          <w:szCs w:val="20"/>
          <w:shd w:fill="auto" w:val="clear"/>
          <w:vertAlign w:val="baseline"/>
        </w:rPr>
      </w:pP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Children who regularly miss school or education or don’t take part in education.</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sz w:val="20"/>
          <w:szCs w:val="20"/>
          <w:highlight w:val="whit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County Lines</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County lines is a term used to describe gangs and organised criminal networks involved in exporting illegal drugs (primarily crack cocaine and heroin) into one or more importing areas [within the UK], using dedicated mobile phone lines or other forms of “deal line”. Exploitation is an integral part of the county lines offending model with children and vulnerable adults exploited to move [and store] drugs and money. Offenders will often use coercion, intimidation, violence (including sexual violence) and weapons to ensure the compliance of victims. Children can easily become trapped by this type of exploitation as county lines gangs create drug debts and can threaten serious violence and kidnap towards victims (and their families) if they attempt to leave the county lines network.</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Child on child abuse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All sub-contractors should be aware that children can abuse other children (often referred to as child-on-child abuse). This is most likely to include, but may not be limited to:</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bullying (including cyberbullying);</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physical abuse such as hitting, kicking, shaking, biting, hair pulling, or otherwise causing physical harm</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abuse within intimate partner relationships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sexual violence, such as rape, assault by penetration and sexual assault;</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sexual harassment, such as sexual comments, remarks, jokes and online sexual harassment, which may be stand-alone or part of a broader pattern of abuse;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upskirting, which typically involves taking a picture under a person’s clothing without them knowing, with the intention of viewing their genitals or buttocks to obtain sexual gratification, or cause the victim humiliation, distress or alarm;</w:t>
        <w:br w:type="textWrapping"/>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hyperlink r:id="rId10">
        <w:r w:rsidDel="00000000" w:rsidR="00000000" w:rsidRPr="00000000">
          <w:rPr>
            <w:rFonts w:ascii="Calibri" w:cs="Calibri" w:eastAsia="Calibri" w:hAnsi="Calibri"/>
            <w:b w:val="0"/>
            <w:i w:val="0"/>
            <w:smallCaps w:val="0"/>
            <w:strike w:val="0"/>
            <w:color w:val="1155cc"/>
            <w:sz w:val="20"/>
            <w:szCs w:val="20"/>
            <w:highlight w:val="white"/>
            <w:u w:val="single"/>
            <w:vertAlign w:val="baseline"/>
            <w:rtl w:val="0"/>
          </w:rPr>
          <w:t xml:space="preserve">sending nudes or semi-nudes</w:t>
        </w:r>
      </w:hyperlink>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(also known as youth-produced sexual imagery); and</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initiation/hazing type violence and rituals.</w:t>
        <w:br w:type="textWrapping"/>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We recognise that even if there are no reported cases of child-on-child abuse, such abuse may still be taking place and may not be being reported.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Child-on-child sexual violence and sexual harassment:</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Sexual violence and sexual harassment can occur between two children of any age and sex. It can occur through a group of children sexually assaulting or sexually harassing a single child or group of children. Sexual violence and sexual harassment exist on a continuum and may overlap; they can occur online and face-to-face (both physically and verbally) and are never acceptable.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Specific safeguarding issues:</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Behaviours</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linked to drug taking, alcohol abuse, truanting and sexting put children in danger. Safeguarding issues can also manifest themselves via peer-on-peer abuse, such as bullying (including cyberbullying), gender-based violence/sexual assaults and sexting. Safeguarding issues can also be linked to, for example, children missing education; child sexual exploitation; domestic abuse; fabricated or induced illness; faith abuse; female genital mutilation; forced marriage;  gangs and youth violence; gender-based violence/violence against women and girls; hate; mental health; preventing radicalisation; relationship abuse; sexting; and trafficking.</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sz w:val="20"/>
          <w:szCs w:val="20"/>
          <w:highlight w:val="whit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sz w:val="20"/>
          <w:szCs w:val="20"/>
          <w:highlight w:val="whit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Mental Health</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All contractors should also be aware that mental health problems can, in some cases, be an indicator that a child has suffered or is at risk of suffering abuse, neglect or exploitation. Only appropriately trained professionals should attempt to make a diagnosis of a mental health problem.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Where children have suffered abuse and neglect, or other potentially traumatic adverse childhood experiences, this can have a lasting impact throughout childhood, adolescence and into adulthood. It is key that contractors are aware of how these children’s experiences can impact their mental health, behaviour and education.</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If subcontractors have a mental health concern about a child that is also a safeguarding concern, immediate action should be taken, following their child protection policy and speaking to the designated safeguarding lead or a deputy.</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The government has published advice and guidance on </w:t>
      </w:r>
      <w:hyperlink r:id="rId11">
        <w:r w:rsidDel="00000000" w:rsidR="00000000" w:rsidRPr="00000000">
          <w:rPr>
            <w:rFonts w:ascii="Calibri" w:cs="Calibri" w:eastAsia="Calibri" w:hAnsi="Calibri"/>
            <w:b w:val="0"/>
            <w:i w:val="0"/>
            <w:smallCaps w:val="0"/>
            <w:strike w:val="0"/>
            <w:color w:val="000000"/>
            <w:sz w:val="20"/>
            <w:szCs w:val="20"/>
            <w:highlight w:val="white"/>
            <w:u w:val="single"/>
            <w:vertAlign w:val="baseline"/>
            <w:rtl w:val="0"/>
          </w:rPr>
          <w:t xml:space="preserve">Preventing and Tackling Bullying</w:t>
        </w:r>
      </w:hyperlink>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and  </w:t>
      </w:r>
      <w:hyperlink r:id="rId12">
        <w:r w:rsidDel="00000000" w:rsidR="00000000" w:rsidRPr="00000000">
          <w:rPr>
            <w:rFonts w:ascii="Calibri" w:cs="Calibri" w:eastAsia="Calibri" w:hAnsi="Calibri"/>
            <w:b w:val="0"/>
            <w:i w:val="0"/>
            <w:smallCaps w:val="0"/>
            <w:strike w:val="0"/>
            <w:color w:val="1155cc"/>
            <w:sz w:val="20"/>
            <w:szCs w:val="20"/>
            <w:highlight w:val="white"/>
            <w:u w:val="single"/>
            <w:vertAlign w:val="baseline"/>
            <w:rtl w:val="0"/>
          </w:rPr>
          <w:t xml:space="preserve">Mental Health and Behaviour in Schools</w:t>
        </w:r>
      </w:hyperlink>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In addition, Public Health England has produced a range of resources to support secondary school teachers to promote positive health, well-being and resilience among young people including its guidance in </w:t>
      </w:r>
      <w:hyperlink r:id="rId13">
        <w:r w:rsidDel="00000000" w:rsidR="00000000" w:rsidRPr="00000000">
          <w:rPr>
            <w:rFonts w:ascii="Calibri" w:cs="Calibri" w:eastAsia="Calibri" w:hAnsi="Calibri"/>
            <w:b w:val="0"/>
            <w:i w:val="0"/>
            <w:smallCaps w:val="0"/>
            <w:strike w:val="0"/>
            <w:color w:val="000000"/>
            <w:sz w:val="20"/>
            <w:szCs w:val="20"/>
            <w:highlight w:val="white"/>
            <w:u w:val="single"/>
            <w:vertAlign w:val="baseline"/>
            <w:rtl w:val="0"/>
          </w:rPr>
          <w:t xml:space="preserve">Promoting children and young people’s emotional health and well-being.</w:t>
        </w:r>
      </w:hyperlink>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Its resources include social media, forming positive relationships, smoking and alcohol.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Special educational needs and/or disabilities or certain health conditions:</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Pupils with SEND may not outwardly show signs of abuse and/or may have difficulties in communication about abuse or neglect.</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These can include: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assumptions that indicators of possible abuse such as behaviour, mood and injury relate to the child’s disability without further exploration;</w:t>
        <w:br w:type="textWrapping"/>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the potential for children with SEN and disabilities being disproportionately impacted by behaviours such as bullying, without outwardly showing any signs; and</w:t>
        <w:br w:type="textWrapping"/>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20" w:before="0" w:line="288" w:lineRule="auto"/>
        <w:ind w:left="720" w:right="0" w:hanging="50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communication barriers and difficulties in overcoming these barriers.</w:t>
        <w:br w:type="textWrapping"/>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Contractors will support such children in expressing any concerns they may have and will be particularly vigilant to any signs or indicators of abuse, discussing this with the DSL as appropriate.</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Domestic abuse:</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Domestic abuse includes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Exposure to domestic abuse can have a serious, long-lasting emotional and psychological impact on children, and affect their ability to learn. The definition of Domestic Abuse applies to children if they see or hear, or experience the effects of, the abuse; and they are related to the abusive person. Sub-contractors should be mindful that children can often blame themselves for the abuse or may have had to leave the family home as a result of the abuse. Domestic Abuse may lead to other safeguarding concerns, and should therefore be managed under this policy.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1155cc"/>
          <w:sz w:val="20"/>
          <w:szCs w:val="20"/>
          <w:highlight w:val="white"/>
          <w:u w:val="none"/>
          <w:vertAlign w:val="baseline"/>
          <w:rtl w:val="0"/>
        </w:rPr>
        <w:t xml:space="preserve">Transparency</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SEND Tutoring prides itself on its respect and mutual tolerance.  Parents/guardians have an important role in supporting the School.  Copies of this policy are on our website and we hope that parents and guardians will always feel able to take up any issues or worries that they may have with SEND Tutoring.  Allegations of child abuse or concerns about the welfare of any child will be dealt with consistently in accordance with this policy.  Open communications are essential. We recognise that the subcontractors play a significant part in the prevention of harm to SEND children by providing good lines of communication with trusted adults, supported friends and an ethos  of protection.  We include within this the emotional wellbeing of children and recognise the role the contractors play in identifying and protecting children who may be vulnerable to radicalisation or exposed to extremist views.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In general, we believe that parents should be informed about any concerns regarding the welfare of their children.  It is important that we are honest and open in our dealings with parents.  However, concerns relating to child protection must be referred to the Designated Safeguarding Lead (DSL) who will decide on the appropriate response (Annabel Douglas-Hughes).  In very few cases, it may not be right to inform the parents of our concerns immediately, for example if that action could prejudice any investigation, or place the child at further risk, or where this might jeopardise a potential criminal investigation.  In such cases, advice will be sought from the Local Authority Designated Officer or team of officers (LADO).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1155cc"/>
          <w:sz w:val="20"/>
          <w:szCs w:val="20"/>
          <w:highlight w:val="white"/>
          <w:u w:val="none"/>
          <w:vertAlign w:val="baseline"/>
          <w:rtl w:val="0"/>
        </w:rPr>
        <w:t xml:space="preserve">Safer Employment Practices</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SEND Tutoring follows the Government's recommendations for the safer recruitment and employment of contractors  working with children and acts at all times in compliance with the Child Safeguarding Regulations. In addition to carrying out safe recruitment procedures as set out in the DfE's guidance 'Keeping Children Safe in Education, all contractors are subject to the necessary statutory child protection checks before starting work, including DBS and prohibition checks, where required.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All subcontractors who have a profile on SEND Tutoring’s website will be asked to show their DBS and provide proof of their professional indemnity. As part of our Safer Recruitment practices, our Child Protection policy is provided to all sub-contractors (as detailed above), and is reviewed by the director of SEND Tutoring Ione Inness annually.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Child Protection Officers</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Our DSL can be contacted at any time, and are:</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sz w:val="20"/>
          <w:szCs w:val="20"/>
          <w:highlight w:val="white"/>
          <w:rtl w:val="0"/>
        </w:rPr>
        <w:t xml:space="preserve">Ione Inness</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color w:val="000000"/>
          <w:sz w:val="20"/>
          <w:szCs w:val="20"/>
          <w:highlight w:val="white"/>
          <w:u w:val="none"/>
          <w:rtl w:val="0"/>
        </w:rPr>
        <w:t xml:space="preserve">i</w:t>
      </w:r>
      <w:r w:rsidDel="00000000" w:rsidR="00000000" w:rsidRPr="00000000">
        <w:rPr>
          <w:rFonts w:ascii="Arial" w:cs="Arial" w:eastAsia="Arial" w:hAnsi="Arial"/>
          <w:sz w:val="20"/>
          <w:szCs w:val="20"/>
          <w:highlight w:val="white"/>
          <w:rtl w:val="0"/>
        </w:rPr>
        <w:t xml:space="preserve">oneinness</w:t>
      </w:r>
      <w:hyperlink r:id="rId14">
        <w:r w:rsidDel="00000000" w:rsidR="00000000" w:rsidRPr="00000000">
          <w:rPr>
            <w:rFonts w:ascii="Arial" w:cs="Arial" w:eastAsia="Arial" w:hAnsi="Arial"/>
            <w:b w:val="0"/>
            <w:i w:val="0"/>
            <w:smallCaps w:val="0"/>
            <w:strike w:val="0"/>
            <w:color w:val="000000"/>
            <w:sz w:val="20"/>
            <w:szCs w:val="20"/>
            <w:highlight w:val="white"/>
            <w:u w:val="single"/>
            <w:vertAlign w:val="baseline"/>
            <w:rtl w:val="0"/>
          </w:rPr>
          <w:t xml:space="preserve">@sendtutoring.co.uk</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Arial" w:cs="Arial" w:eastAsia="Arial" w:hAnsi="Arial"/>
          <w:sz w:val="20"/>
          <w:szCs w:val="20"/>
          <w:highlight w:val="white"/>
          <w:rtl w:val="0"/>
        </w:rPr>
        <w:t xml:space="preserve">Work</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0203 4413097 Mobile: 07956501163</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Our DSL has been fully trained for the demands of this role in child protection and inter-agency working in accordance with locally agreed procedures and as set out in Annex B of Keeping Children Safe in Education. They are also aware of their ‘Prevent’ duties. They are also aware of the statutory guidance to local authorities concerning the care and education of ‘looked after children’.</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t xml:space="preserve">What sub-contractors should do if they have concerns about a child</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If any subcontractor notices that a child is behaving in an uncharacteristic way for longer than normal, they should report this to the DSL as soon as possible. This will then be logged and the procedures below should always be followed. Sub-contractors are advised to maintain an attitude of ‘it could happen here’. Anyone can make a referral directly to Children’s social care. Any children who are involved will receive appropriate care throughout the procedure.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0"/>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On hearing an allegation of abuse or complaint about abuse directly from a child, a sub-contractor should listen carefully and limit questioning to the minimum necessary for clarification.  Leading questions should be avoided.  No inappropriate guarantees of confidentiality should be given; rather the child should be told that the matter will be referred, in confidence, to the appropriate people in positions of responsibility.  If the child is under 12, consent to share information about them must be obtained from their parents or carers. Young people aged 12 to 15 may give their own consent to information sharing if they have a sufficient understanding of the issues. Young people aged 16 and 17 are able to give their own consent if they are thought to have the capacity to do so under the Mental Capacity Act 2005; otherwise, consent should be sought from parents. The member of staff should remain calm and supportive and demonstrate that he/she is being taken seriously.</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The member of staff should make and submit to the DSL an accurate, factual written record which should include the date, time and place (signed and dated)</w:t>
      </w:r>
      <w:r w:rsidDel="00000000" w:rsidR="00000000" w:rsidRPr="00000000">
        <w:rPr>
          <w:rFonts w:ascii="Calibri" w:cs="Calibri" w:eastAsia="Calibri" w:hAnsi="Calibri"/>
          <w:b w:val="0"/>
          <w:i w:val="0"/>
          <w:smallCaps w:val="0"/>
          <w:strike w:val="0"/>
          <w:color w:val="ff0000"/>
          <w:sz w:val="20"/>
          <w:szCs w:val="20"/>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immediately (and DSL will inform the Annabel at SEND Tutoring) so that appropriate agency can be informed immediately and the matter resolved without delay.  (Note, to avoid any delays, a verbal report may be made to the DSL in the first instance, but this must be followed promptly by the signed and dated written record.)  The record should be factual and avoid conjecture and opinion.  Children’s Social Care will be contacted immediately if a pupil has or is likely to suffer significant harm whilst those who may need additional support will have an inter-agency assessment which may include the ‘Common assessment Framework’ ( CAF) or ‘Team around the Child ( TAC). The DSL will contact the Local Authority Designated Officer (LADO) for advice or direction in relation to any allegation or suspicion of abuse directed against anyone working in the school and will inform Ofsted if appropriate. It should be stressed that children receiving the right help at the right time can address risks and prevent issues from escalating. All subcontractors should recognise the importance of acting on and referring to early signs of abuse and neglect, radicalisation, keeping clear records, listening to the views of a child and reassessing concerns when situations do not improve.</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The DSL (or Principal/Head, in their absence) will refer all allegations or suspicions of abuse or cases where there is reasonable cause to suspect a child is suffering or is likely to suffer, significant harm, to the LADO immediately, without investigation by the School first.</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w:cs="Times" w:eastAsia="Times" w:hAnsi="Times"/>
          <w:b w:val="1"/>
          <w:i w:val="0"/>
          <w:smallCaps w:val="0"/>
          <w:strike w:val="0"/>
          <w:color w:val="000000"/>
          <w:sz w:val="20"/>
          <w:szCs w:val="20"/>
          <w:highlight w:val="white"/>
          <w:u w:val="none"/>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Borderline cases will be discussed (by the DSL) with the LADO without identifying individuals in the first instance and following discussions the LADO will judge whether or not an allegation or concern meets the relevant threshold.  The LADO and the DSL will decide in the circumstances what further steps should be taken.  This could involve informing parents and calling the police.</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w:cs="Times" w:eastAsia="Times" w:hAnsi="Times"/>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If it is agreed that the presented issues meet the BANES Social Care Team’s eligibility criteria, a formal “referral” will be made under the category of “child in need”.  The Social Care Team will consider the information and undertake the appropriate assessments which may include contacting the family and seeing the child.</w:t>
      </w:r>
      <w:r w:rsidDel="00000000" w:rsidR="00000000" w:rsidRPr="00000000">
        <w:rPr>
          <w:rtl w:val="0"/>
        </w:rPr>
      </w:r>
    </w:p>
    <w:sectPr>
      <w:headerReference r:id="rId15" w:type="default"/>
      <w:footerReference r:id="rId16" w:type="default"/>
      <w:pgSz w:h="11906" w:w="16838" w:orient="landscape"/>
      <w:pgMar w:bottom="1134" w:top="1134" w:left="1134" w:right="1134" w:header="709" w:footer="850"/>
      <w:pgNumType w:start="1"/>
      <w:cols w:equalWidth="0" w:num="2">
        <w:col w:space="720" w:w="6924.880000000001"/>
        <w:col w:space="0" w:w="6924.88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Play">
    <w:embedRegular w:fontKey="{00000000-0000-0000-0000-000000000000}" r:id="rId1" w:subsetted="0"/>
    <w:embedBold w:fontKey="{00000000-0000-0000-0000-000000000000}" r:id="rId2" w:subsetted="0"/>
  </w:font>
  <w:font w:name="Times"/>
  <w:font w:name="Helvetica"/>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spacing w:after="160" w:lineRule="auto"/>
      <w:rPr>
        <w:rFonts w:ascii="Helvetica" w:cs="Helvetica" w:eastAsia="Helvetica" w:hAnsi="Helvetica"/>
        <w:b w:val="1"/>
        <w:sz w:val="48"/>
        <w:szCs w:val="48"/>
      </w:rPr>
    </w:pPr>
    <w:r w:rsidDel="00000000" w:rsidR="00000000" w:rsidRPr="00000000">
      <w:rPr>
        <w:rFonts w:ascii="Play" w:cs="Play" w:eastAsia="Play" w:hAnsi="Play"/>
        <w:b w:val="1"/>
      </w:rPr>
      <w:drawing>
        <wp:inline distB="0" distT="0" distL="0" distR="0">
          <wp:extent cx="1664875" cy="936469"/>
          <wp:effectExtent b="0" l="0" r="0" t="0"/>
          <wp:docPr descr="A pink and blue arrow with blue text&#10;&#10;AI-generated content may be incorrect." id="1073741826" name="image1.png"/>
          <a:graphic>
            <a:graphicData uri="http://schemas.openxmlformats.org/drawingml/2006/picture">
              <pic:pic>
                <pic:nvPicPr>
                  <pic:cNvPr descr="A pink and blue arrow with blue text&#10;&#10;AI-generated content may be incorrect." id="0" name="image1.png"/>
                  <pic:cNvPicPr preferRelativeResize="0"/>
                </pic:nvPicPr>
                <pic:blipFill>
                  <a:blip r:embed="rId1"/>
                  <a:srcRect b="0" l="0" r="0" t="0"/>
                  <a:stretch>
                    <a:fillRect/>
                  </a:stretch>
                </pic:blipFill>
                <pic:spPr>
                  <a:xfrm>
                    <a:off x="0" y="0"/>
                    <a:ext cx="1664875" cy="936469"/>
                  </a:xfrm>
                  <a:prstGeom prst="rect"/>
                  <a:ln/>
                </pic:spPr>
              </pic:pic>
            </a:graphicData>
          </a:graphic>
        </wp:inline>
      </w:drawing>
    </w:r>
    <w:r w:rsidDel="00000000" w:rsidR="00000000" w:rsidRPr="00000000">
      <w:rPr>
        <w:rFonts w:ascii="Play" w:cs="Play" w:eastAsia="Play" w:hAnsi="Play"/>
        <w:b w:val="1"/>
        <w:rtl w:val="0"/>
      </w:rPr>
      <w:tab/>
    </w:r>
    <w:r w:rsidDel="00000000" w:rsidR="00000000" w:rsidRPr="00000000">
      <w:rPr>
        <w:rFonts w:ascii="Helvetica" w:cs="Helvetica" w:eastAsia="Helvetica" w:hAnsi="Helvetica"/>
        <w:b w:val="1"/>
        <w:sz w:val="48"/>
        <w:szCs w:val="48"/>
        <w:rtl w:val="0"/>
      </w:rPr>
      <w:t xml:space="preserve">SEND Tutoring:  Safeguarding Policy</w:t>
    </w:r>
  </w:p>
  <w:p w:rsidR="00000000" w:rsidDel="00000000" w:rsidP="00000000" w:rsidRDefault="00000000" w:rsidRPr="00000000" w14:paraId="000000A4">
    <w:pPr>
      <w:spacing w:after="160" w:lineRule="auto"/>
      <w:rPr>
        <w:rFonts w:ascii="Helvetica" w:cs="Helvetica" w:eastAsia="Helvetica" w:hAnsi="Helvetica"/>
        <w:b w:val="1"/>
        <w:sz w:val="48"/>
        <w:szCs w:val="4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500"/>
      </w:pPr>
      <w:rPr>
        <w:rFonts w:ascii="Calibri" w:cs="Calibri" w:eastAsia="Calibri" w:hAnsi="Calibri"/>
        <w:b w:val="0"/>
        <w:i w:val="0"/>
        <w:smallCaps w:val="0"/>
        <w:strike w:val="0"/>
        <w:color w:val="000000"/>
        <w:shd w:fill="auto" w:val="clear"/>
        <w:vertAlign w:val="baseline"/>
      </w:rPr>
    </w:lvl>
    <w:lvl w:ilvl="1">
      <w:start w:val="1"/>
      <w:numFmt w:val="bullet"/>
      <w:lvlText w:val="•"/>
      <w:lvlJc w:val="left"/>
      <w:pPr>
        <w:ind w:left="773" w:hanging="333"/>
      </w:pPr>
      <w:rPr>
        <w:rFonts w:ascii="Calibri" w:cs="Calibri" w:eastAsia="Calibri" w:hAnsi="Calibri"/>
        <w:b w:val="0"/>
        <w:i w:val="0"/>
        <w:smallCaps w:val="0"/>
        <w:strike w:val="0"/>
        <w:color w:val="000000"/>
        <w:shd w:fill="auto" w:val="clear"/>
        <w:vertAlign w:val="baseline"/>
      </w:rPr>
    </w:lvl>
    <w:lvl w:ilvl="2">
      <w:start w:val="1"/>
      <w:numFmt w:val="bullet"/>
      <w:lvlText w:val="•"/>
      <w:lvlJc w:val="left"/>
      <w:pPr>
        <w:ind w:left="993" w:hanging="333"/>
      </w:pPr>
      <w:rPr>
        <w:rFonts w:ascii="Calibri" w:cs="Calibri" w:eastAsia="Calibri" w:hAnsi="Calibri"/>
        <w:b w:val="0"/>
        <w:i w:val="0"/>
        <w:smallCaps w:val="0"/>
        <w:strike w:val="0"/>
        <w:color w:val="000000"/>
        <w:shd w:fill="auto" w:val="clear"/>
        <w:vertAlign w:val="baseline"/>
      </w:rPr>
    </w:lvl>
    <w:lvl w:ilvl="3">
      <w:start w:val="1"/>
      <w:numFmt w:val="bullet"/>
      <w:lvlText w:val="•"/>
      <w:lvlJc w:val="left"/>
      <w:pPr>
        <w:ind w:left="1213" w:hanging="333"/>
      </w:pPr>
      <w:rPr>
        <w:rFonts w:ascii="Calibri" w:cs="Calibri" w:eastAsia="Calibri" w:hAnsi="Calibri"/>
        <w:b w:val="0"/>
        <w:i w:val="0"/>
        <w:smallCaps w:val="0"/>
        <w:strike w:val="0"/>
        <w:color w:val="000000"/>
        <w:shd w:fill="auto" w:val="clear"/>
        <w:vertAlign w:val="baseline"/>
      </w:rPr>
    </w:lvl>
    <w:lvl w:ilvl="4">
      <w:start w:val="1"/>
      <w:numFmt w:val="bullet"/>
      <w:lvlText w:val="•"/>
      <w:lvlJc w:val="left"/>
      <w:pPr>
        <w:ind w:left="1433" w:hanging="332.9999999999998"/>
      </w:pPr>
      <w:rPr>
        <w:rFonts w:ascii="Calibri" w:cs="Calibri" w:eastAsia="Calibri" w:hAnsi="Calibri"/>
        <w:b w:val="0"/>
        <w:i w:val="0"/>
        <w:smallCaps w:val="0"/>
        <w:strike w:val="0"/>
        <w:color w:val="000000"/>
        <w:shd w:fill="auto" w:val="clear"/>
        <w:vertAlign w:val="baseline"/>
      </w:rPr>
    </w:lvl>
    <w:lvl w:ilvl="5">
      <w:start w:val="1"/>
      <w:numFmt w:val="bullet"/>
      <w:lvlText w:val="•"/>
      <w:lvlJc w:val="left"/>
      <w:pPr>
        <w:ind w:left="1653" w:hanging="333"/>
      </w:pPr>
      <w:rPr>
        <w:rFonts w:ascii="Calibri" w:cs="Calibri" w:eastAsia="Calibri" w:hAnsi="Calibri"/>
        <w:b w:val="0"/>
        <w:i w:val="0"/>
        <w:smallCaps w:val="0"/>
        <w:strike w:val="0"/>
        <w:color w:val="000000"/>
        <w:shd w:fill="auto" w:val="clear"/>
        <w:vertAlign w:val="baseline"/>
      </w:rPr>
    </w:lvl>
    <w:lvl w:ilvl="6">
      <w:start w:val="1"/>
      <w:numFmt w:val="bullet"/>
      <w:lvlText w:val="•"/>
      <w:lvlJc w:val="left"/>
      <w:pPr>
        <w:ind w:left="1873" w:hanging="333"/>
      </w:pPr>
      <w:rPr>
        <w:rFonts w:ascii="Calibri" w:cs="Calibri" w:eastAsia="Calibri" w:hAnsi="Calibri"/>
        <w:b w:val="0"/>
        <w:i w:val="0"/>
        <w:smallCaps w:val="0"/>
        <w:strike w:val="0"/>
        <w:color w:val="000000"/>
        <w:shd w:fill="auto" w:val="clear"/>
        <w:vertAlign w:val="baseline"/>
      </w:rPr>
    </w:lvl>
    <w:lvl w:ilvl="7">
      <w:start w:val="1"/>
      <w:numFmt w:val="bullet"/>
      <w:lvlText w:val="•"/>
      <w:lvlJc w:val="left"/>
      <w:pPr>
        <w:ind w:left="2093" w:hanging="333"/>
      </w:pPr>
      <w:rPr>
        <w:rFonts w:ascii="Calibri" w:cs="Calibri" w:eastAsia="Calibri" w:hAnsi="Calibri"/>
        <w:b w:val="0"/>
        <w:i w:val="0"/>
        <w:smallCaps w:val="0"/>
        <w:strike w:val="0"/>
        <w:color w:val="000000"/>
        <w:shd w:fill="auto" w:val="clear"/>
        <w:vertAlign w:val="baseline"/>
      </w:rPr>
    </w:lvl>
    <w:lvl w:ilvl="8">
      <w:start w:val="1"/>
      <w:numFmt w:val="bullet"/>
      <w:lvlText w:val="•"/>
      <w:lvlJc w:val="left"/>
      <w:pPr>
        <w:ind w:left="2313" w:hanging="333"/>
      </w:pPr>
      <w:rPr>
        <w:rFonts w:ascii="Calibri" w:cs="Calibri" w:eastAsia="Calibri" w:hAnsi="Calibri"/>
        <w:b w:val="0"/>
        <w:i w:val="0"/>
        <w:smallCaps w:val="0"/>
        <w:strike w:val="0"/>
        <w:color w:val="000000"/>
        <w:shd w:fill="auto" w:val="clear"/>
        <w:vertAlign w:val="baseline"/>
      </w:rPr>
    </w:lvl>
  </w:abstractNum>
  <w:abstractNum w:abstractNumId="2">
    <w:lvl w:ilvl="0">
      <w:start w:val="1"/>
      <w:numFmt w:val="bullet"/>
      <w:lvlText w:val="•"/>
      <w:lvlJc w:val="left"/>
      <w:pPr>
        <w:ind w:left="720" w:hanging="500"/>
      </w:pPr>
      <w:rPr>
        <w:rFonts w:ascii="Calibri" w:cs="Calibri" w:eastAsia="Calibri" w:hAnsi="Calibri"/>
        <w:b w:val="0"/>
        <w:i w:val="1"/>
        <w:smallCaps w:val="0"/>
        <w:strike w:val="0"/>
        <w:color w:val="000000"/>
        <w:shd w:fill="auto" w:val="clear"/>
        <w:vertAlign w:val="baseline"/>
      </w:rPr>
    </w:lvl>
    <w:lvl w:ilvl="1">
      <w:start w:val="1"/>
      <w:numFmt w:val="bullet"/>
      <w:lvlText w:val="•"/>
      <w:lvlJc w:val="left"/>
      <w:pPr>
        <w:ind w:left="773" w:hanging="333"/>
      </w:pPr>
      <w:rPr>
        <w:rFonts w:ascii="Calibri" w:cs="Calibri" w:eastAsia="Calibri" w:hAnsi="Calibri"/>
        <w:b w:val="0"/>
        <w:i w:val="1"/>
        <w:smallCaps w:val="0"/>
        <w:strike w:val="0"/>
        <w:color w:val="000000"/>
        <w:shd w:fill="auto" w:val="clear"/>
        <w:vertAlign w:val="baseline"/>
      </w:rPr>
    </w:lvl>
    <w:lvl w:ilvl="2">
      <w:start w:val="1"/>
      <w:numFmt w:val="bullet"/>
      <w:lvlText w:val="•"/>
      <w:lvlJc w:val="left"/>
      <w:pPr>
        <w:ind w:left="993" w:hanging="333"/>
      </w:pPr>
      <w:rPr>
        <w:rFonts w:ascii="Calibri" w:cs="Calibri" w:eastAsia="Calibri" w:hAnsi="Calibri"/>
        <w:b w:val="0"/>
        <w:i w:val="1"/>
        <w:smallCaps w:val="0"/>
        <w:strike w:val="0"/>
        <w:color w:val="000000"/>
        <w:shd w:fill="auto" w:val="clear"/>
        <w:vertAlign w:val="baseline"/>
      </w:rPr>
    </w:lvl>
    <w:lvl w:ilvl="3">
      <w:start w:val="1"/>
      <w:numFmt w:val="bullet"/>
      <w:lvlText w:val="•"/>
      <w:lvlJc w:val="left"/>
      <w:pPr>
        <w:ind w:left="1213" w:hanging="333"/>
      </w:pPr>
      <w:rPr>
        <w:rFonts w:ascii="Calibri" w:cs="Calibri" w:eastAsia="Calibri" w:hAnsi="Calibri"/>
        <w:b w:val="0"/>
        <w:i w:val="1"/>
        <w:smallCaps w:val="0"/>
        <w:strike w:val="0"/>
        <w:color w:val="000000"/>
        <w:shd w:fill="auto" w:val="clear"/>
        <w:vertAlign w:val="baseline"/>
      </w:rPr>
    </w:lvl>
    <w:lvl w:ilvl="4">
      <w:start w:val="1"/>
      <w:numFmt w:val="bullet"/>
      <w:lvlText w:val="•"/>
      <w:lvlJc w:val="left"/>
      <w:pPr>
        <w:ind w:left="1433" w:hanging="332.9999999999998"/>
      </w:pPr>
      <w:rPr>
        <w:rFonts w:ascii="Calibri" w:cs="Calibri" w:eastAsia="Calibri" w:hAnsi="Calibri"/>
        <w:b w:val="0"/>
        <w:i w:val="1"/>
        <w:smallCaps w:val="0"/>
        <w:strike w:val="0"/>
        <w:color w:val="000000"/>
        <w:shd w:fill="auto" w:val="clear"/>
        <w:vertAlign w:val="baseline"/>
      </w:rPr>
    </w:lvl>
    <w:lvl w:ilvl="5">
      <w:start w:val="1"/>
      <w:numFmt w:val="bullet"/>
      <w:lvlText w:val="•"/>
      <w:lvlJc w:val="left"/>
      <w:pPr>
        <w:ind w:left="1653" w:hanging="333"/>
      </w:pPr>
      <w:rPr>
        <w:rFonts w:ascii="Calibri" w:cs="Calibri" w:eastAsia="Calibri" w:hAnsi="Calibri"/>
        <w:b w:val="0"/>
        <w:i w:val="1"/>
        <w:smallCaps w:val="0"/>
        <w:strike w:val="0"/>
        <w:color w:val="000000"/>
        <w:shd w:fill="auto" w:val="clear"/>
        <w:vertAlign w:val="baseline"/>
      </w:rPr>
    </w:lvl>
    <w:lvl w:ilvl="6">
      <w:start w:val="1"/>
      <w:numFmt w:val="bullet"/>
      <w:lvlText w:val="•"/>
      <w:lvlJc w:val="left"/>
      <w:pPr>
        <w:ind w:left="1873" w:hanging="333"/>
      </w:pPr>
      <w:rPr>
        <w:rFonts w:ascii="Calibri" w:cs="Calibri" w:eastAsia="Calibri" w:hAnsi="Calibri"/>
        <w:b w:val="0"/>
        <w:i w:val="1"/>
        <w:smallCaps w:val="0"/>
        <w:strike w:val="0"/>
        <w:color w:val="000000"/>
        <w:shd w:fill="auto" w:val="clear"/>
        <w:vertAlign w:val="baseline"/>
      </w:rPr>
    </w:lvl>
    <w:lvl w:ilvl="7">
      <w:start w:val="1"/>
      <w:numFmt w:val="bullet"/>
      <w:lvlText w:val="•"/>
      <w:lvlJc w:val="left"/>
      <w:pPr>
        <w:ind w:left="2093" w:hanging="333"/>
      </w:pPr>
      <w:rPr>
        <w:rFonts w:ascii="Calibri" w:cs="Calibri" w:eastAsia="Calibri" w:hAnsi="Calibri"/>
        <w:b w:val="0"/>
        <w:i w:val="1"/>
        <w:smallCaps w:val="0"/>
        <w:strike w:val="0"/>
        <w:color w:val="000000"/>
        <w:shd w:fill="auto" w:val="clear"/>
        <w:vertAlign w:val="baseline"/>
      </w:rPr>
    </w:lvl>
    <w:lvl w:ilvl="8">
      <w:start w:val="1"/>
      <w:numFmt w:val="bullet"/>
      <w:lvlText w:val="•"/>
      <w:lvlJc w:val="left"/>
      <w:pPr>
        <w:ind w:left="2313" w:hanging="333"/>
      </w:pPr>
      <w:rPr>
        <w:rFonts w:ascii="Calibri" w:cs="Calibri" w:eastAsia="Calibri" w:hAnsi="Calibri"/>
        <w:b w:val="0"/>
        <w:i w:val="1"/>
        <w:smallCaps w:val="0"/>
        <w:strike w:val="0"/>
        <w:color w:val="00000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Default" w:customStyle="1">
    <w:name w:val="Default"/>
    <w:pPr>
      <w:spacing w:before="160" w:line="288" w:lineRule="auto"/>
    </w:pPr>
    <w:rPr>
      <w:rFonts w:ascii="Helvetica Neue" w:cs="Helvetica Neue" w:eastAsia="Helvetica Neue" w:hAnsi="Helvetica Neue"/>
      <w:color w:val="000000"/>
      <w:sz w:val="24"/>
      <w:szCs w:val="24"/>
      <w14:textOutline w14:cap="flat" w14:cmpd="sng" w14:algn="ctr">
        <w14:noFill/>
        <w14:prstDash w14:val="solid"/>
        <w14:bevel/>
      </w14:textOutline>
    </w:rPr>
  </w:style>
  <w:style w:type="numbering" w:styleId="Bullet" w:customStyle="1">
    <w:name w:val="Bullet"/>
    <w:pPr>
      <w:numPr>
        <w:numId w:val="1"/>
      </w:numPr>
    </w:pPr>
  </w:style>
  <w:style w:type="character" w:styleId="None" w:customStyle="1">
    <w:name w:val="None"/>
  </w:style>
  <w:style w:type="character" w:styleId="Hyperlink0" w:customStyle="1">
    <w:name w:val="Hyperlink.0"/>
    <w:basedOn w:val="None"/>
    <w:rPr>
      <w:u w:val="single"/>
      <w:shd w:color="auto" w:fill="ffffff" w:val="clear"/>
    </w:rPr>
  </w:style>
  <w:style w:type="character" w:styleId="Hyperlink1" w:customStyle="1">
    <w:name w:val="Hyperlink.1"/>
    <w:basedOn w:val="None"/>
    <w:rPr>
      <w:outline w:val="0"/>
      <w:color w:val="1155cc"/>
      <w:u w:val="single"/>
      <w:shd w:color="auto" w:fill="ffffff" w:val="clear"/>
    </w:rPr>
  </w:style>
  <w:style w:type="character" w:styleId="UnresolvedMention">
    <w:name w:val="Unresolved Mention"/>
    <w:basedOn w:val="DefaultParagraphFont"/>
    <w:uiPriority w:val="99"/>
    <w:semiHidden w:val="1"/>
    <w:unhideWhenUsed w:val="1"/>
    <w:rsid w:val="001B099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623895/Preventing_and_tackling_bullying_advice.pdf" TargetMode="External"/><Relationship Id="rId1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3" Type="http://schemas.openxmlformats.org/officeDocument/2006/relationships/hyperlink" Target="https://www.gov.uk/government/publications/promoting-children-and-young-peoples-emotional-health-and-wellbeing" TargetMode="External"/><Relationship Id="rId12" Type="http://schemas.openxmlformats.org/officeDocument/2006/relationships/hyperlink" Target="https://assets.publishing.service.gov.uk/government/uploads/system/uploads/attachment_data/file/755135/Mental_health_and_behaviour_in_schools__.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nationalcollege.co.uk/browse/search?search=kcsie&amp;sort=new&amp;cat=safeguarding&amp;utm_term=kcsie%202022&amp;utm_campaign=N+%7C+TNC+%7C+Safeguarding+%7C+Exact&amp;utm_source=adwords&amp;utm_medium=ppc&amp;hsa_acc=6300136303&amp;hsa_cam=18325991733&amp;hsa_grp=144895436087&amp;hsa_ad=621618163113&amp;hsa_src=g&amp;hsa_tgt=kwd-1660875382036&amp;hsa_kw=kcsie%202022&amp;hsa_mt=e&amp;hsa_net=adwords&amp;hsa_ver=3&amp;gclid=Cj0KCQjwqoibBhDUARIsAH2OpWiYtcdJaRGUkPDRcjQO9mlE2SkjlS9ACufCSKUfcbgI29b5j9ZLWtgaAi2WEALw_wcB" TargetMode="External"/><Relationship Id="rId15" Type="http://schemas.openxmlformats.org/officeDocument/2006/relationships/header" Target="header1.xml"/><Relationship Id="rId14" Type="http://schemas.openxmlformats.org/officeDocument/2006/relationships/hyperlink" Target="mailto:annabel@sendtutoring.co.uk"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national-action-plan-to-tackle-child-abuse-linked-to-faith-or-belief" TargetMode="External"/><Relationship Id="rId8" Type="http://schemas.openxmlformats.org/officeDocument/2006/relationships/hyperlink" Target="https://www.gov.uk/government/publications/children-who-run-away-or-go-missing-from-home-or-c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MDE6i4i+7k6lttAc7B9mpuRafQ==">CgMxLjA4AHIhMVR3SFI4eXI5aE40ZGZqd1dfMzBzdW84eUpDSU10S1JU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2024-09-22T08:02:00Z</dcterms:created>
</cp:coreProperties>
</file>