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pPr>
      <w:r w:rsidDel="00000000" w:rsidR="00000000" w:rsidRPr="00000000">
        <w:rPr>
          <w:rFonts w:ascii="Arial" w:cs="Arial" w:eastAsia="Arial" w:hAnsi="Arial"/>
          <w:sz w:val="20"/>
          <w:szCs w:val="20"/>
          <w:rtl w:val="0"/>
        </w:rPr>
        <w:t xml:space="preserve">Effective Date: Tuesday, 22 April 2025</w:t>
        <w:br w:type="textWrapping"/>
        <w:t xml:space="preserve">Review Date: Tuesday, 22 April 2026</w:t>
        <w:br w:type="textWrapping"/>
        <w:t xml:space="preserve">Approved by: Ione Inness, Director of SEND Tutoring</w:t>
      </w:r>
    </w:p>
    <w:p w:rsidR="00000000" w:rsidDel="00000000" w:rsidP="00000000" w:rsidRDefault="00000000" w:rsidRPr="00000000" w14:paraId="00000003">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Policy Statement</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SEND Tutoring is fully committed to promoting equality, diversity, and inclusion in all aspects of its operations. We value the individuality and diversity of every learner, tutor, employee, and stakeholder. We strive to create an inclusive and supportive environment where everyone is treated with dignity, respect, and fairness.</w:t>
      </w:r>
    </w:p>
    <w:p w:rsidR="00000000" w:rsidDel="00000000" w:rsidP="00000000" w:rsidRDefault="00000000" w:rsidRPr="00000000" w14:paraId="00000006">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Purpose of the Policy</w:t>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The purpose of this policy is to:</w:t>
      </w:r>
    </w:p>
    <w:p w:rsidR="00000000" w:rsidDel="00000000" w:rsidP="00000000" w:rsidRDefault="00000000" w:rsidRPr="00000000" w14:paraId="00000009">
      <w:pPr>
        <w:numPr>
          <w:ilvl w:val="0"/>
          <w:numId w:val="9"/>
        </w:numPr>
        <w:ind w:left="720" w:hanging="360"/>
        <w:rPr>
          <w:rFonts w:ascii="Arial" w:cs="Arial" w:eastAsia="Arial" w:hAnsi="Arial"/>
        </w:rPr>
      </w:pPr>
      <w:r w:rsidDel="00000000" w:rsidR="00000000" w:rsidRPr="00000000">
        <w:rPr>
          <w:rFonts w:ascii="Arial" w:cs="Arial" w:eastAsia="Arial" w:hAnsi="Arial"/>
          <w:sz w:val="20"/>
          <w:szCs w:val="20"/>
          <w:rtl w:val="0"/>
        </w:rPr>
        <w:t xml:space="preserve">Promote an inclusive culture free from discrimination and harassment.</w:t>
      </w:r>
    </w:p>
    <w:p w:rsidR="00000000" w:rsidDel="00000000" w:rsidP="00000000" w:rsidRDefault="00000000" w:rsidRPr="00000000" w14:paraId="0000000A">
      <w:pPr>
        <w:numPr>
          <w:ilvl w:val="0"/>
          <w:numId w:val="9"/>
        </w:numPr>
        <w:ind w:left="720" w:hanging="360"/>
        <w:rPr>
          <w:rFonts w:ascii="Arial" w:cs="Arial" w:eastAsia="Arial" w:hAnsi="Arial"/>
        </w:rPr>
      </w:pPr>
      <w:r w:rsidDel="00000000" w:rsidR="00000000" w:rsidRPr="00000000">
        <w:rPr>
          <w:rFonts w:ascii="Arial" w:cs="Arial" w:eastAsia="Arial" w:hAnsi="Arial"/>
          <w:sz w:val="20"/>
          <w:szCs w:val="20"/>
          <w:rtl w:val="0"/>
        </w:rPr>
        <w:t xml:space="preserve">Ensure equal opportunities for all regardless of protected characteristics.</w:t>
      </w:r>
    </w:p>
    <w:p w:rsidR="00000000" w:rsidDel="00000000" w:rsidP="00000000" w:rsidRDefault="00000000" w:rsidRPr="00000000" w14:paraId="0000000B">
      <w:pPr>
        <w:numPr>
          <w:ilvl w:val="0"/>
          <w:numId w:val="9"/>
        </w:numPr>
        <w:ind w:left="720" w:hanging="360"/>
        <w:rPr>
          <w:rFonts w:ascii="Arial" w:cs="Arial" w:eastAsia="Arial" w:hAnsi="Arial"/>
        </w:rPr>
      </w:pPr>
      <w:r w:rsidDel="00000000" w:rsidR="00000000" w:rsidRPr="00000000">
        <w:rPr>
          <w:rFonts w:ascii="Arial" w:cs="Arial" w:eastAsia="Arial" w:hAnsi="Arial"/>
          <w:sz w:val="20"/>
          <w:szCs w:val="20"/>
          <w:rtl w:val="0"/>
        </w:rPr>
        <w:t xml:space="preserve">Support and respect the diversity of our tutors, learners, and wider community.</w:t>
      </w:r>
    </w:p>
    <w:p w:rsidR="00000000" w:rsidDel="00000000" w:rsidP="00000000" w:rsidRDefault="00000000" w:rsidRPr="00000000" w14:paraId="0000000C">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Scope</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applies to:</w:t>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sz w:val="20"/>
          <w:szCs w:val="20"/>
          <w:rtl w:val="0"/>
        </w:rPr>
        <w:t xml:space="preserve">All employees, tutors, contractors, and volunteers.</w:t>
      </w:r>
    </w:p>
    <w:p w:rsidR="00000000" w:rsidDel="00000000" w:rsidP="00000000" w:rsidRDefault="00000000" w:rsidRPr="00000000" w14:paraId="00000011">
      <w:pPr>
        <w:numPr>
          <w:ilvl w:val="0"/>
          <w:numId w:val="1"/>
        </w:numPr>
        <w:ind w:left="720" w:hanging="360"/>
        <w:rPr>
          <w:rFonts w:ascii="Arial" w:cs="Arial" w:eastAsia="Arial" w:hAnsi="Arial"/>
        </w:rPr>
      </w:pPr>
      <w:r w:rsidDel="00000000" w:rsidR="00000000" w:rsidRPr="00000000">
        <w:rPr>
          <w:rFonts w:ascii="Arial" w:cs="Arial" w:eastAsia="Arial" w:hAnsi="Arial"/>
          <w:sz w:val="20"/>
          <w:szCs w:val="20"/>
          <w:rtl w:val="0"/>
        </w:rPr>
        <w:t xml:space="preserve">All learners, parents/carers, and partners we engage with.</w:t>
      </w:r>
    </w:p>
    <w:p w:rsidR="00000000" w:rsidDel="00000000" w:rsidP="00000000" w:rsidRDefault="00000000" w:rsidRPr="00000000" w14:paraId="00000012">
      <w:pPr>
        <w:numPr>
          <w:ilvl w:val="0"/>
          <w:numId w:val="1"/>
        </w:numPr>
        <w:ind w:left="720" w:hanging="360"/>
        <w:rPr>
          <w:rFonts w:ascii="Arial" w:cs="Arial" w:eastAsia="Arial" w:hAnsi="Arial"/>
        </w:rPr>
      </w:pPr>
      <w:r w:rsidDel="00000000" w:rsidR="00000000" w:rsidRPr="00000000">
        <w:rPr>
          <w:rFonts w:ascii="Arial" w:cs="Arial" w:eastAsia="Arial" w:hAnsi="Arial"/>
          <w:sz w:val="20"/>
          <w:szCs w:val="20"/>
          <w:rtl w:val="0"/>
        </w:rPr>
        <w:t xml:space="preserve">All areas of service delivery, including recruitment, tutoring, training, and partnerships.</w:t>
      </w:r>
    </w:p>
    <w:p w:rsidR="00000000" w:rsidDel="00000000" w:rsidP="00000000" w:rsidRDefault="00000000" w:rsidRPr="00000000" w14:paraId="00000013">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Legal Framework</w:t>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aligns with the following UK legislation and statutory guidance:</w:t>
      </w:r>
    </w:p>
    <w:p w:rsidR="00000000" w:rsidDel="00000000" w:rsidP="00000000" w:rsidRDefault="00000000" w:rsidRPr="00000000" w14:paraId="00000016">
      <w:pPr>
        <w:numPr>
          <w:ilvl w:val="0"/>
          <w:numId w:val="2"/>
        </w:numPr>
        <w:ind w:left="720" w:hanging="360"/>
        <w:rPr>
          <w:rFonts w:ascii="Arial" w:cs="Arial" w:eastAsia="Arial" w:hAnsi="Arial"/>
        </w:rPr>
      </w:pPr>
      <w:r w:rsidDel="00000000" w:rsidR="00000000" w:rsidRPr="00000000">
        <w:rPr>
          <w:rFonts w:ascii="Arial" w:cs="Arial" w:eastAsia="Arial" w:hAnsi="Arial"/>
          <w:sz w:val="20"/>
          <w:szCs w:val="20"/>
          <w:rtl w:val="0"/>
        </w:rPr>
        <w:t xml:space="preserve">Equality Act 2010</w:t>
      </w:r>
    </w:p>
    <w:p w:rsidR="00000000" w:rsidDel="00000000" w:rsidP="00000000" w:rsidRDefault="00000000" w:rsidRPr="00000000" w14:paraId="00000017">
      <w:pPr>
        <w:numPr>
          <w:ilvl w:val="0"/>
          <w:numId w:val="2"/>
        </w:numPr>
        <w:ind w:left="720" w:hanging="360"/>
        <w:rPr>
          <w:rFonts w:ascii="Arial" w:cs="Arial" w:eastAsia="Arial" w:hAnsi="Arial"/>
        </w:rPr>
      </w:pPr>
      <w:r w:rsidDel="00000000" w:rsidR="00000000" w:rsidRPr="00000000">
        <w:rPr>
          <w:rFonts w:ascii="Arial" w:cs="Arial" w:eastAsia="Arial" w:hAnsi="Arial"/>
          <w:sz w:val="20"/>
          <w:szCs w:val="20"/>
          <w:rtl w:val="0"/>
        </w:rPr>
        <w:t xml:space="preserve">Human Rights Act 1998</w:t>
      </w:r>
    </w:p>
    <w:p w:rsidR="00000000" w:rsidDel="00000000" w:rsidP="00000000" w:rsidRDefault="00000000" w:rsidRPr="00000000" w14:paraId="00000018">
      <w:pPr>
        <w:numPr>
          <w:ilvl w:val="0"/>
          <w:numId w:val="2"/>
        </w:numPr>
        <w:ind w:left="720" w:hanging="360"/>
        <w:rPr>
          <w:rFonts w:ascii="Arial" w:cs="Arial" w:eastAsia="Arial" w:hAnsi="Arial"/>
        </w:rPr>
      </w:pPr>
      <w:r w:rsidDel="00000000" w:rsidR="00000000" w:rsidRPr="00000000">
        <w:rPr>
          <w:rFonts w:ascii="Arial" w:cs="Arial" w:eastAsia="Arial" w:hAnsi="Arial"/>
          <w:sz w:val="20"/>
          <w:szCs w:val="20"/>
          <w:rtl w:val="0"/>
        </w:rPr>
        <w:t xml:space="preserve">Children and Families Act 2014</w:t>
      </w:r>
    </w:p>
    <w:p w:rsidR="00000000" w:rsidDel="00000000" w:rsidP="00000000" w:rsidRDefault="00000000" w:rsidRPr="00000000" w14:paraId="00000019">
      <w:pPr>
        <w:numPr>
          <w:ilvl w:val="0"/>
          <w:numId w:val="2"/>
        </w:numPr>
        <w:ind w:left="720" w:hanging="360"/>
        <w:rPr>
          <w:rFonts w:ascii="Arial" w:cs="Arial" w:eastAsia="Arial" w:hAnsi="Arial"/>
        </w:rPr>
      </w:pPr>
      <w:r w:rsidDel="00000000" w:rsidR="00000000" w:rsidRPr="00000000">
        <w:rPr>
          <w:rFonts w:ascii="Arial" w:cs="Arial" w:eastAsia="Arial" w:hAnsi="Arial"/>
          <w:sz w:val="20"/>
          <w:szCs w:val="20"/>
          <w:rtl w:val="0"/>
        </w:rPr>
        <w:t xml:space="preserve">SEND Code of Practice</w:t>
      </w:r>
    </w:p>
    <w:p w:rsidR="00000000" w:rsidDel="00000000" w:rsidP="00000000" w:rsidRDefault="00000000" w:rsidRPr="00000000" w14:paraId="0000001A">
      <w:pPr>
        <w:numPr>
          <w:ilvl w:val="0"/>
          <w:numId w:val="2"/>
        </w:numPr>
        <w:ind w:left="720" w:hanging="360"/>
        <w:rPr>
          <w:rFonts w:ascii="Arial" w:cs="Arial" w:eastAsia="Arial" w:hAnsi="Arial"/>
        </w:rPr>
      </w:pPr>
      <w:r w:rsidDel="00000000" w:rsidR="00000000" w:rsidRPr="00000000">
        <w:rPr>
          <w:rFonts w:ascii="Arial" w:cs="Arial" w:eastAsia="Arial" w:hAnsi="Arial"/>
          <w:sz w:val="20"/>
          <w:szCs w:val="20"/>
          <w:rtl w:val="0"/>
        </w:rPr>
        <w:t xml:space="preserve">Public Sector Equality Duty (where applicable)</w:t>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We recognise the following </w:t>
      </w:r>
      <w:r w:rsidDel="00000000" w:rsidR="00000000" w:rsidRPr="00000000">
        <w:rPr>
          <w:rFonts w:ascii="Arial" w:cs="Arial" w:eastAsia="Arial" w:hAnsi="Arial"/>
          <w:i w:val="1"/>
          <w:sz w:val="20"/>
          <w:szCs w:val="20"/>
          <w:rtl w:val="0"/>
        </w:rPr>
        <w:t xml:space="preserve">protected characteristics</w:t>
      </w:r>
      <w:r w:rsidDel="00000000" w:rsidR="00000000" w:rsidRPr="00000000">
        <w:rPr>
          <w:rFonts w:ascii="Arial" w:cs="Arial" w:eastAsia="Arial" w:hAnsi="Arial"/>
          <w:sz w:val="20"/>
          <w:szCs w:val="20"/>
          <w:rtl w:val="0"/>
        </w:rPr>
        <w:t xml:space="preserve"> under the Equality Act 2010:</w:t>
      </w:r>
    </w:p>
    <w:p w:rsidR="00000000" w:rsidDel="00000000" w:rsidP="00000000" w:rsidRDefault="00000000" w:rsidRPr="00000000" w14:paraId="0000001C">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01D">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Disability</w:t>
      </w:r>
    </w:p>
    <w:p w:rsidR="00000000" w:rsidDel="00000000" w:rsidP="00000000" w:rsidRDefault="00000000" w:rsidRPr="00000000" w14:paraId="0000001E">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Gender reassignment</w:t>
      </w:r>
    </w:p>
    <w:p w:rsidR="00000000" w:rsidDel="00000000" w:rsidP="00000000" w:rsidRDefault="00000000" w:rsidRPr="00000000" w14:paraId="0000001F">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Marriage and civil partnership</w:t>
      </w:r>
    </w:p>
    <w:p w:rsidR="00000000" w:rsidDel="00000000" w:rsidP="00000000" w:rsidRDefault="00000000" w:rsidRPr="00000000" w14:paraId="00000020">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Pregnancy and maternity</w:t>
      </w:r>
    </w:p>
    <w:p w:rsidR="00000000" w:rsidDel="00000000" w:rsidP="00000000" w:rsidRDefault="00000000" w:rsidRPr="00000000" w14:paraId="00000021">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Race</w:t>
      </w:r>
    </w:p>
    <w:p w:rsidR="00000000" w:rsidDel="00000000" w:rsidP="00000000" w:rsidRDefault="00000000" w:rsidRPr="00000000" w14:paraId="00000022">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Religion or belief</w:t>
      </w:r>
    </w:p>
    <w:p w:rsidR="00000000" w:rsidDel="00000000" w:rsidP="00000000" w:rsidRDefault="00000000" w:rsidRPr="00000000" w14:paraId="00000023">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Sex</w:t>
      </w:r>
    </w:p>
    <w:p w:rsidR="00000000" w:rsidDel="00000000" w:rsidP="00000000" w:rsidRDefault="00000000" w:rsidRPr="00000000" w14:paraId="00000024">
      <w:pPr>
        <w:numPr>
          <w:ilvl w:val="0"/>
          <w:numId w:val="3"/>
        </w:numPr>
        <w:ind w:left="720" w:hanging="360"/>
        <w:rPr>
          <w:rFonts w:ascii="Arial" w:cs="Arial" w:eastAsia="Arial" w:hAnsi="Arial"/>
        </w:rPr>
      </w:pPr>
      <w:r w:rsidDel="00000000" w:rsidR="00000000" w:rsidRPr="00000000">
        <w:rPr>
          <w:rFonts w:ascii="Arial" w:cs="Arial" w:eastAsia="Arial" w:hAnsi="Arial"/>
          <w:sz w:val="20"/>
          <w:szCs w:val="20"/>
          <w:rtl w:val="0"/>
        </w:rPr>
        <w:t xml:space="preserve">Sexual orientation</w:t>
      </w:r>
    </w:p>
    <w:p w:rsidR="00000000" w:rsidDel="00000000" w:rsidP="00000000" w:rsidRDefault="00000000" w:rsidRPr="00000000" w14:paraId="00000025">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Our Commitment</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SEND Tutoring is committed to:</w:t>
      </w:r>
    </w:p>
    <w:p w:rsidR="00000000" w:rsidDel="00000000" w:rsidP="00000000" w:rsidRDefault="00000000" w:rsidRPr="00000000" w14:paraId="00000028">
      <w:pPr>
        <w:numPr>
          <w:ilvl w:val="0"/>
          <w:numId w:val="4"/>
        </w:numPr>
        <w:ind w:left="720" w:hanging="360"/>
        <w:rPr>
          <w:rFonts w:ascii="Arial" w:cs="Arial" w:eastAsia="Arial" w:hAnsi="Arial"/>
        </w:rPr>
      </w:pPr>
      <w:r w:rsidDel="00000000" w:rsidR="00000000" w:rsidRPr="00000000">
        <w:rPr>
          <w:rFonts w:ascii="Arial" w:cs="Arial" w:eastAsia="Arial" w:hAnsi="Arial"/>
          <w:sz w:val="20"/>
          <w:szCs w:val="20"/>
          <w:rtl w:val="0"/>
        </w:rPr>
        <w:t xml:space="preserve">Ensuring recruitment, training, and selection processes are fair and inclusive.</w:t>
      </w:r>
    </w:p>
    <w:p w:rsidR="00000000" w:rsidDel="00000000" w:rsidP="00000000" w:rsidRDefault="00000000" w:rsidRPr="00000000" w14:paraId="00000029">
      <w:pPr>
        <w:numPr>
          <w:ilvl w:val="0"/>
          <w:numId w:val="4"/>
        </w:numPr>
        <w:ind w:left="720" w:hanging="360"/>
        <w:rPr>
          <w:rFonts w:ascii="Arial" w:cs="Arial" w:eastAsia="Arial" w:hAnsi="Arial"/>
        </w:rPr>
      </w:pPr>
      <w:r w:rsidDel="00000000" w:rsidR="00000000" w:rsidRPr="00000000">
        <w:rPr>
          <w:rFonts w:ascii="Arial" w:cs="Arial" w:eastAsia="Arial" w:hAnsi="Arial"/>
          <w:sz w:val="20"/>
          <w:szCs w:val="20"/>
          <w:rtl w:val="0"/>
        </w:rPr>
        <w:t xml:space="preserve">Offering tutoring that is sensitive to and supportive of diverse needs.</w:t>
      </w:r>
    </w:p>
    <w:p w:rsidR="00000000" w:rsidDel="00000000" w:rsidP="00000000" w:rsidRDefault="00000000" w:rsidRPr="00000000" w14:paraId="0000002A">
      <w:pPr>
        <w:numPr>
          <w:ilvl w:val="0"/>
          <w:numId w:val="4"/>
        </w:numPr>
        <w:ind w:left="720" w:hanging="360"/>
        <w:rPr>
          <w:rFonts w:ascii="Arial" w:cs="Arial" w:eastAsia="Arial" w:hAnsi="Arial"/>
        </w:rPr>
      </w:pPr>
      <w:r w:rsidDel="00000000" w:rsidR="00000000" w:rsidRPr="00000000">
        <w:rPr>
          <w:rFonts w:ascii="Arial" w:cs="Arial" w:eastAsia="Arial" w:hAnsi="Arial"/>
          <w:sz w:val="20"/>
          <w:szCs w:val="20"/>
          <w:rtl w:val="0"/>
        </w:rPr>
        <w:t xml:space="preserve">Making reasonable adjustments for tutors or learners with disabilities or special educational needs.</w:t>
      </w:r>
    </w:p>
    <w:p w:rsidR="00000000" w:rsidDel="00000000" w:rsidP="00000000" w:rsidRDefault="00000000" w:rsidRPr="00000000" w14:paraId="0000002B">
      <w:pPr>
        <w:numPr>
          <w:ilvl w:val="0"/>
          <w:numId w:val="4"/>
        </w:numPr>
        <w:ind w:left="720" w:hanging="360"/>
        <w:rPr>
          <w:rFonts w:ascii="Arial" w:cs="Arial" w:eastAsia="Arial" w:hAnsi="Arial"/>
        </w:rPr>
      </w:pPr>
      <w:r w:rsidDel="00000000" w:rsidR="00000000" w:rsidRPr="00000000">
        <w:rPr>
          <w:rFonts w:ascii="Arial" w:cs="Arial" w:eastAsia="Arial" w:hAnsi="Arial"/>
          <w:sz w:val="20"/>
          <w:szCs w:val="20"/>
          <w:rtl w:val="0"/>
        </w:rPr>
        <w:t xml:space="preserve">Promoting a learning environment free from discrimination, harassment, and victimisation.</w:t>
      </w:r>
    </w:p>
    <w:p w:rsidR="00000000" w:rsidDel="00000000" w:rsidP="00000000" w:rsidRDefault="00000000" w:rsidRPr="00000000" w14:paraId="0000002C">
      <w:pPr>
        <w:numPr>
          <w:ilvl w:val="0"/>
          <w:numId w:val="4"/>
        </w:numPr>
        <w:ind w:left="720" w:hanging="360"/>
        <w:rPr>
          <w:rFonts w:ascii="Arial" w:cs="Arial" w:eastAsia="Arial" w:hAnsi="Arial"/>
        </w:rPr>
      </w:pPr>
      <w:r w:rsidDel="00000000" w:rsidR="00000000" w:rsidRPr="00000000">
        <w:rPr>
          <w:rFonts w:ascii="Arial" w:cs="Arial" w:eastAsia="Arial" w:hAnsi="Arial"/>
          <w:sz w:val="20"/>
          <w:szCs w:val="20"/>
          <w:rtl w:val="0"/>
        </w:rPr>
        <w:t xml:space="preserve">Providing ongoing equality and diversity training to staff and tutors.</w:t>
      </w:r>
    </w:p>
    <w:p w:rsidR="00000000" w:rsidDel="00000000" w:rsidP="00000000" w:rsidRDefault="00000000" w:rsidRPr="00000000" w14:paraId="0000002D">
      <w:pPr>
        <w:numPr>
          <w:ilvl w:val="0"/>
          <w:numId w:val="4"/>
        </w:numPr>
        <w:ind w:left="720" w:hanging="360"/>
        <w:rPr>
          <w:rFonts w:ascii="Arial" w:cs="Arial" w:eastAsia="Arial" w:hAnsi="Arial"/>
        </w:rPr>
      </w:pPr>
      <w:r w:rsidDel="00000000" w:rsidR="00000000" w:rsidRPr="00000000">
        <w:rPr>
          <w:rFonts w:ascii="Arial" w:cs="Arial" w:eastAsia="Arial" w:hAnsi="Arial"/>
          <w:sz w:val="20"/>
          <w:szCs w:val="20"/>
          <w:rtl w:val="0"/>
        </w:rPr>
        <w:t xml:space="preserve">Valuing lived experiences and cultural backgrounds in our teaching approach.</w:t>
      </w:r>
    </w:p>
    <w:p w:rsidR="00000000" w:rsidDel="00000000" w:rsidP="00000000" w:rsidRDefault="00000000" w:rsidRPr="00000000" w14:paraId="0000002E">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Implementation</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a. Recruitment &amp; Selection</w:t>
      </w:r>
    </w:p>
    <w:p w:rsidR="00000000" w:rsidDel="00000000" w:rsidP="00000000" w:rsidRDefault="00000000" w:rsidRPr="00000000" w14:paraId="00000032">
      <w:pPr>
        <w:numPr>
          <w:ilvl w:val="0"/>
          <w:numId w:val="5"/>
        </w:numPr>
        <w:ind w:left="720" w:hanging="360"/>
        <w:rPr>
          <w:rFonts w:ascii="Arial" w:cs="Arial" w:eastAsia="Arial" w:hAnsi="Arial"/>
        </w:rPr>
      </w:pPr>
      <w:r w:rsidDel="00000000" w:rsidR="00000000" w:rsidRPr="00000000">
        <w:rPr>
          <w:rFonts w:ascii="Arial" w:cs="Arial" w:eastAsia="Arial" w:hAnsi="Arial"/>
          <w:sz w:val="20"/>
          <w:szCs w:val="20"/>
          <w:rtl w:val="0"/>
        </w:rPr>
        <w:t xml:space="preserve">All job adverts and descriptions will include a statement supporting equal opportunities.</w:t>
      </w:r>
    </w:p>
    <w:p w:rsidR="00000000" w:rsidDel="00000000" w:rsidP="00000000" w:rsidRDefault="00000000" w:rsidRPr="00000000" w14:paraId="00000033">
      <w:pPr>
        <w:numPr>
          <w:ilvl w:val="0"/>
          <w:numId w:val="5"/>
        </w:numPr>
        <w:ind w:left="720" w:hanging="360"/>
        <w:rPr>
          <w:rFonts w:ascii="Arial" w:cs="Arial" w:eastAsia="Arial" w:hAnsi="Arial"/>
        </w:rPr>
      </w:pPr>
      <w:r w:rsidDel="00000000" w:rsidR="00000000" w:rsidRPr="00000000">
        <w:rPr>
          <w:rFonts w:ascii="Arial" w:cs="Arial" w:eastAsia="Arial" w:hAnsi="Arial"/>
          <w:sz w:val="20"/>
          <w:szCs w:val="20"/>
          <w:rtl w:val="0"/>
        </w:rPr>
        <w:t xml:space="preserve">Shortlisting and interviewing will be based on skills, experience, and potential — not bias or prejudice.</w:t>
      </w:r>
    </w:p>
    <w:p w:rsidR="00000000" w:rsidDel="00000000" w:rsidP="00000000" w:rsidRDefault="00000000" w:rsidRPr="00000000" w14:paraId="00000034">
      <w:pPr>
        <w:numPr>
          <w:ilvl w:val="0"/>
          <w:numId w:val="5"/>
        </w:numPr>
        <w:ind w:left="720" w:hanging="360"/>
        <w:rPr>
          <w:rFonts w:ascii="Arial" w:cs="Arial" w:eastAsia="Arial" w:hAnsi="Arial"/>
        </w:rPr>
      </w:pPr>
      <w:r w:rsidDel="00000000" w:rsidR="00000000" w:rsidRPr="00000000">
        <w:rPr>
          <w:rFonts w:ascii="Arial" w:cs="Arial" w:eastAsia="Arial" w:hAnsi="Arial"/>
          <w:sz w:val="20"/>
          <w:szCs w:val="20"/>
          <w:rtl w:val="0"/>
        </w:rPr>
        <w:t xml:space="preserve">Where applicable, anonymised application reviews may be used to support fair shortlisting.</w:t>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b. Inclusive Tutoring Practices</w:t>
      </w:r>
    </w:p>
    <w:p w:rsidR="00000000" w:rsidDel="00000000" w:rsidP="00000000" w:rsidRDefault="00000000" w:rsidRPr="00000000" w14:paraId="00000036">
      <w:pPr>
        <w:numPr>
          <w:ilvl w:val="0"/>
          <w:numId w:val="6"/>
        </w:numPr>
        <w:ind w:left="720" w:hanging="360"/>
        <w:rPr>
          <w:rFonts w:ascii="Arial" w:cs="Arial" w:eastAsia="Arial" w:hAnsi="Arial"/>
        </w:rPr>
      </w:pPr>
      <w:r w:rsidDel="00000000" w:rsidR="00000000" w:rsidRPr="00000000">
        <w:rPr>
          <w:rFonts w:ascii="Arial" w:cs="Arial" w:eastAsia="Arial" w:hAnsi="Arial"/>
          <w:sz w:val="20"/>
          <w:szCs w:val="20"/>
          <w:rtl w:val="0"/>
        </w:rPr>
        <w:t xml:space="preserve">Our tutors are trained to adapt their approach to meet the needs of diverse learners, including neurodiverse students and those from culturally diverse backgrounds.</w:t>
      </w:r>
    </w:p>
    <w:p w:rsidR="00000000" w:rsidDel="00000000" w:rsidP="00000000" w:rsidRDefault="00000000" w:rsidRPr="00000000" w14:paraId="00000037">
      <w:pPr>
        <w:numPr>
          <w:ilvl w:val="0"/>
          <w:numId w:val="6"/>
        </w:numPr>
        <w:ind w:left="720" w:hanging="360"/>
        <w:rPr>
          <w:rFonts w:ascii="Arial" w:cs="Arial" w:eastAsia="Arial" w:hAnsi="Arial"/>
        </w:rPr>
      </w:pPr>
      <w:r w:rsidDel="00000000" w:rsidR="00000000" w:rsidRPr="00000000">
        <w:rPr>
          <w:rFonts w:ascii="Arial" w:cs="Arial" w:eastAsia="Arial" w:hAnsi="Arial"/>
          <w:sz w:val="20"/>
          <w:szCs w:val="20"/>
          <w:rtl w:val="0"/>
        </w:rPr>
        <w:t xml:space="preserve">Teaching materials and approaches will avoid stereotypes and reflect diverse perspectives.</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c. Monitoring and Evaluation</w:t>
      </w:r>
    </w:p>
    <w:p w:rsidR="00000000" w:rsidDel="00000000" w:rsidP="00000000" w:rsidRDefault="00000000" w:rsidRPr="00000000" w14:paraId="00000039">
      <w:pPr>
        <w:numPr>
          <w:ilvl w:val="0"/>
          <w:numId w:val="7"/>
        </w:numPr>
        <w:ind w:left="720" w:hanging="360"/>
        <w:rPr>
          <w:rFonts w:ascii="Arial" w:cs="Arial" w:eastAsia="Arial" w:hAnsi="Arial"/>
        </w:rPr>
      </w:pPr>
      <w:r w:rsidDel="00000000" w:rsidR="00000000" w:rsidRPr="00000000">
        <w:rPr>
          <w:rFonts w:ascii="Arial" w:cs="Arial" w:eastAsia="Arial" w:hAnsi="Arial"/>
          <w:sz w:val="20"/>
          <w:szCs w:val="20"/>
          <w:rtl w:val="0"/>
        </w:rPr>
        <w:t xml:space="preserve">We monitor recruitment, staff composition, and learner feedback to evaluate equality impact.</w:t>
      </w:r>
    </w:p>
    <w:p w:rsidR="00000000" w:rsidDel="00000000" w:rsidP="00000000" w:rsidRDefault="00000000" w:rsidRPr="00000000" w14:paraId="0000003A">
      <w:pPr>
        <w:numPr>
          <w:ilvl w:val="0"/>
          <w:numId w:val="7"/>
        </w:numPr>
        <w:ind w:left="720" w:hanging="360"/>
        <w:rPr>
          <w:rFonts w:ascii="Arial" w:cs="Arial" w:eastAsia="Arial" w:hAnsi="Arial"/>
        </w:rPr>
      </w:pPr>
      <w:r w:rsidDel="00000000" w:rsidR="00000000" w:rsidRPr="00000000">
        <w:rPr>
          <w:rFonts w:ascii="Arial" w:cs="Arial" w:eastAsia="Arial" w:hAnsi="Arial"/>
          <w:sz w:val="20"/>
          <w:szCs w:val="20"/>
          <w:rtl w:val="0"/>
        </w:rPr>
        <w:t xml:space="preserve">Regular policy reviews ensure continuous improvement.</w:t>
      </w:r>
    </w:p>
    <w:p w:rsidR="00000000" w:rsidDel="00000000" w:rsidP="00000000" w:rsidRDefault="00000000" w:rsidRPr="00000000" w14:paraId="0000003B">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Reporting and Complaints</w:t>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Discrimination, harassment, or unfair treatment will not be tolerated. Any concerns or complaints relating to equality and diversity should be reported to the Designated Safeguarding Lead or Director. All reports will be taken seriously, treated confidentially, and investigated thoroughly in line with our grievance or safeguarding procedures.</w:t>
      </w:r>
    </w:p>
    <w:p w:rsidR="00000000" w:rsidDel="00000000" w:rsidP="00000000" w:rsidRDefault="00000000" w:rsidRPr="00000000" w14:paraId="0000003E">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Responsibilities</w:t>
      </w:r>
    </w:p>
    <w:p w:rsidR="00000000" w:rsidDel="00000000" w:rsidP="00000000" w:rsidRDefault="00000000" w:rsidRPr="00000000" w14:paraId="00000040">
      <w:pPr>
        <w:numPr>
          <w:ilvl w:val="0"/>
          <w:numId w:val="8"/>
        </w:numPr>
        <w:ind w:left="720" w:hanging="360"/>
        <w:rPr>
          <w:rFonts w:ascii="Arial" w:cs="Arial" w:eastAsia="Arial" w:hAnsi="Arial"/>
        </w:rPr>
      </w:pPr>
      <w:r w:rsidDel="00000000" w:rsidR="00000000" w:rsidRPr="00000000">
        <w:rPr>
          <w:rFonts w:ascii="Arial" w:cs="Arial" w:eastAsia="Arial" w:hAnsi="Arial"/>
          <w:sz w:val="20"/>
          <w:szCs w:val="20"/>
          <w:rtl w:val="0"/>
        </w:rPr>
        <w:t xml:space="preserve">Directors/Managers: Ensure policy implementation and provide leadership on EDI (Equality, Diversity, and Inclusion).</w:t>
      </w:r>
    </w:p>
    <w:p w:rsidR="00000000" w:rsidDel="00000000" w:rsidP="00000000" w:rsidRDefault="00000000" w:rsidRPr="00000000" w14:paraId="00000041">
      <w:pPr>
        <w:numPr>
          <w:ilvl w:val="0"/>
          <w:numId w:val="8"/>
        </w:numPr>
        <w:ind w:left="720" w:hanging="360"/>
        <w:rPr>
          <w:rFonts w:ascii="Arial" w:cs="Arial" w:eastAsia="Arial" w:hAnsi="Arial"/>
        </w:rPr>
      </w:pPr>
      <w:r w:rsidDel="00000000" w:rsidR="00000000" w:rsidRPr="00000000">
        <w:rPr>
          <w:rFonts w:ascii="Arial" w:cs="Arial" w:eastAsia="Arial" w:hAnsi="Arial"/>
          <w:sz w:val="20"/>
          <w:szCs w:val="20"/>
          <w:rtl w:val="0"/>
        </w:rPr>
        <w:t xml:space="preserve">Tutors and Staff: Expected to uphold the principles of this policy in their daily work and interactions.</w:t>
      </w:r>
    </w:p>
    <w:p w:rsidR="00000000" w:rsidDel="00000000" w:rsidP="00000000" w:rsidRDefault="00000000" w:rsidRPr="00000000" w14:paraId="00000042">
      <w:pPr>
        <w:numPr>
          <w:ilvl w:val="0"/>
          <w:numId w:val="8"/>
        </w:numPr>
        <w:ind w:left="720" w:hanging="360"/>
        <w:rPr>
          <w:rFonts w:ascii="Arial" w:cs="Arial" w:eastAsia="Arial" w:hAnsi="Arial"/>
        </w:rPr>
      </w:pPr>
      <w:r w:rsidDel="00000000" w:rsidR="00000000" w:rsidRPr="00000000">
        <w:rPr>
          <w:rFonts w:ascii="Arial" w:cs="Arial" w:eastAsia="Arial" w:hAnsi="Arial"/>
          <w:sz w:val="20"/>
          <w:szCs w:val="20"/>
          <w:rtl w:val="0"/>
        </w:rPr>
        <w:t xml:space="preserve">Learners and Families: Encouraged to embrace and respect diversity in their engagement with SEND Tutoring.</w:t>
      </w:r>
    </w:p>
    <w:p w:rsidR="00000000" w:rsidDel="00000000" w:rsidP="00000000" w:rsidRDefault="00000000" w:rsidRPr="00000000" w14:paraId="00000043">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Review</w:t>
      </w:r>
    </w:p>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will be reviewed annually, or in response to changes in legislation or business practices.</w:t>
      </w:r>
    </w:p>
    <w:p w:rsidR="00000000" w:rsidDel="00000000" w:rsidP="00000000" w:rsidRDefault="00000000" w:rsidRPr="00000000" w14:paraId="00000046">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Signed:</w:t>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Ione Inness, Director of SEND Tutoring</w:t>
        <w:br w:type="textWrapping"/>
        <w:t xml:space="preserve">Date: Tuesday, 22 April 2025</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sectPr>
      <w:headerReference r:id="rId7" w:type="default"/>
      <w:footerReference r:id="rId8" w:type="default"/>
      <w:pgSz w:h="11906" w:w="16838" w:orient="landscape"/>
      <w:pgMar w:bottom="1440" w:top="1440" w:left="1440" w:right="1440" w:header="708" w:footer="708"/>
      <w:pgNumType w:start="1"/>
      <w:cols w:equalWidth="0" w:num="2">
        <w:col w:space="720" w:w="6618.88"/>
        <w:col w:space="0" w:w="661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16"/>
        <w:szCs w:val="16"/>
        <w:u w:val="none"/>
        <w:shd w:fill="auto" w:val="clear"/>
        <w:vertAlign w:val="baseline"/>
        <w:rtl w:val="0"/>
      </w:rPr>
      <w:tab/>
      <w:tab/>
      <w:t xml:space="preserve">Policy Version: 001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40" w:lineRule="auto"/>
      <w:rPr>
        <w:rFonts w:ascii="Play" w:cs="Play" w:eastAsia="Play" w:hAnsi="Play"/>
        <w:b w:val="1"/>
        <w:sz w:val="40"/>
        <w:szCs w:val="40"/>
      </w:rPr>
    </w:pPr>
    <w:r w:rsidDel="00000000" w:rsidR="00000000" w:rsidRPr="00000000">
      <w:rPr>
        <w:rFonts w:ascii="Play" w:cs="Play" w:eastAsia="Play" w:hAnsi="Play"/>
        <w:b w:val="1"/>
      </w:rPr>
      <w:drawing>
        <wp:inline distB="0" distT="0" distL="0" distR="0">
          <wp:extent cx="1664875" cy="936469"/>
          <wp:effectExtent b="0" l="0" r="0" t="0"/>
          <wp:docPr descr="A pink and blue arrow with blue text&#10;&#10;AI-generated content may be incorrect." id="33244577" name="image1.png"/>
          <a:graphic>
            <a:graphicData uri="http://schemas.openxmlformats.org/drawingml/2006/picture">
              <pic:pic>
                <pic:nvPicPr>
                  <pic:cNvPr descr="A pink and blue arrow with blue text&#10;&#10;AI-generated content may be incorrect." id="0" name="image1.png"/>
                  <pic:cNvPicPr preferRelativeResize="0"/>
                </pic:nvPicPr>
                <pic:blipFill>
                  <a:blip r:embed="rId1"/>
                  <a:srcRect b="0" l="0" r="0" t="0"/>
                  <a:stretch>
                    <a:fillRect/>
                  </a:stretch>
                </pic:blipFill>
                <pic:spPr>
                  <a:xfrm>
                    <a:off x="0" y="0"/>
                    <a:ext cx="1664875" cy="936469"/>
                  </a:xfrm>
                  <a:prstGeom prst="rect"/>
                  <a:ln/>
                </pic:spPr>
              </pic:pic>
            </a:graphicData>
          </a:graphic>
        </wp:inline>
      </w:drawing>
    </w:r>
    <w:r w:rsidDel="00000000" w:rsidR="00000000" w:rsidRPr="00000000">
      <w:rPr>
        <w:rFonts w:ascii="Play" w:cs="Play" w:eastAsia="Play" w:hAnsi="Play"/>
        <w:b w:val="1"/>
        <w:rtl w:val="0"/>
      </w:rPr>
      <w:tab/>
    </w:r>
    <w:r w:rsidDel="00000000" w:rsidR="00000000" w:rsidRPr="00000000">
      <w:rPr>
        <w:rFonts w:ascii="Arial" w:cs="Arial" w:eastAsia="Arial" w:hAnsi="Arial"/>
        <w:b w:val="1"/>
        <w:sz w:val="40"/>
        <w:szCs w:val="40"/>
        <w:rtl w:val="0"/>
      </w:rPr>
      <w:t xml:space="preserve">SEND Tutoring: Equality &amp; Diversity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011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11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11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11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011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011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011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011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011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11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11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11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11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11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11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116E"/>
    <w:rPr>
      <w:i w:val="1"/>
      <w:iCs w:val="1"/>
      <w:color w:val="404040" w:themeColor="text1" w:themeTint="0000BF"/>
    </w:rPr>
  </w:style>
  <w:style w:type="paragraph" w:styleId="ListParagraph">
    <w:name w:val="List Paragraph"/>
    <w:basedOn w:val="Normal"/>
    <w:uiPriority w:val="34"/>
    <w:qFormat w:val="1"/>
    <w:rsid w:val="0020116E"/>
    <w:pPr>
      <w:ind w:left="720"/>
      <w:contextualSpacing w:val="1"/>
    </w:pPr>
  </w:style>
  <w:style w:type="character" w:styleId="IntenseEmphasis">
    <w:name w:val="Intense Emphasis"/>
    <w:basedOn w:val="DefaultParagraphFont"/>
    <w:uiPriority w:val="21"/>
    <w:qFormat w:val="1"/>
    <w:rsid w:val="0020116E"/>
    <w:rPr>
      <w:i w:val="1"/>
      <w:iCs w:val="1"/>
      <w:color w:val="0f4761" w:themeColor="accent1" w:themeShade="0000BF"/>
    </w:rPr>
  </w:style>
  <w:style w:type="paragraph" w:styleId="IntenseQuote">
    <w:name w:val="Intense Quote"/>
    <w:basedOn w:val="Normal"/>
    <w:next w:val="Normal"/>
    <w:link w:val="IntenseQuoteChar"/>
    <w:uiPriority w:val="30"/>
    <w:qFormat w:val="1"/>
    <w:rsid w:val="002011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0116E"/>
    <w:rPr>
      <w:i w:val="1"/>
      <w:iCs w:val="1"/>
      <w:color w:val="0f4761" w:themeColor="accent1" w:themeShade="0000BF"/>
    </w:rPr>
  </w:style>
  <w:style w:type="character" w:styleId="IntenseReference">
    <w:name w:val="Intense Reference"/>
    <w:basedOn w:val="DefaultParagraphFont"/>
    <w:uiPriority w:val="32"/>
    <w:qFormat w:val="1"/>
    <w:rsid w:val="0020116E"/>
    <w:rPr>
      <w:b w:val="1"/>
      <w:bCs w:val="1"/>
      <w:smallCaps w:val="1"/>
      <w:color w:val="0f4761" w:themeColor="accent1" w:themeShade="0000BF"/>
      <w:spacing w:val="5"/>
    </w:rPr>
  </w:style>
  <w:style w:type="paragraph" w:styleId="Header">
    <w:name w:val="header"/>
    <w:basedOn w:val="Normal"/>
    <w:link w:val="HeaderChar"/>
    <w:uiPriority w:val="99"/>
    <w:unhideWhenUsed w:val="1"/>
    <w:rsid w:val="002011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116E"/>
  </w:style>
  <w:style w:type="paragraph" w:styleId="Footer">
    <w:name w:val="footer"/>
    <w:basedOn w:val="Normal"/>
    <w:link w:val="FooterChar"/>
    <w:uiPriority w:val="99"/>
    <w:unhideWhenUsed w:val="1"/>
    <w:rsid w:val="002011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116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7ce9H7sx0o4G8cXNqo0r8T5WQ==">CgMxLjA4AHIhMTlUR2NveVFXS0U5T0t4SGw2MUN0d2pvRXVJUmNXWUYw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2025-04-22T11:30:00Z</dcterms:created>
  <dc:creator>Annabel Douglas-Hughes</dc:creator>
</cp:coreProperties>
</file>